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010A" w14:textId="77777777" w:rsidR="00771EE5" w:rsidRDefault="00771EE5" w:rsidP="00771EE5">
      <w:pPr>
        <w:jc w:val="center"/>
        <w:rPr>
          <w:rFonts w:ascii="Times New Roman" w:hAnsi="Times New Roman"/>
          <w:sz w:val="24"/>
          <w:szCs w:val="22"/>
        </w:rPr>
      </w:pPr>
      <w:r>
        <w:rPr>
          <w:rFonts w:ascii="Times New Roman" w:hAnsi="Times New Roman"/>
          <w:sz w:val="24"/>
        </w:rPr>
        <w:t>EL</w:t>
      </w:r>
    </w:p>
    <w:p w14:paraId="22FD1957" w14:textId="77777777" w:rsidR="00441DF2" w:rsidRPr="00037E7B" w:rsidRDefault="00441DF2" w:rsidP="00771EE5">
      <w:pPr>
        <w:rPr>
          <w:rFonts w:ascii="Times New Roman" w:hAnsi="Times New Roman"/>
          <w:sz w:val="24"/>
        </w:rPr>
      </w:pPr>
    </w:p>
    <w:p w14:paraId="62C1E171" w14:textId="77777777" w:rsidR="00441DF2" w:rsidRPr="00037E7B" w:rsidRDefault="00441DF2" w:rsidP="00441DF2">
      <w:pPr>
        <w:jc w:val="center"/>
        <w:rPr>
          <w:rFonts w:ascii="Times New Roman" w:hAnsi="Times New Roman"/>
          <w:sz w:val="24"/>
        </w:rPr>
      </w:pPr>
      <w:r>
        <w:rPr>
          <w:rFonts w:ascii="Times New Roman" w:hAnsi="Times New Roman"/>
          <w:sz w:val="24"/>
        </w:rPr>
        <w:t>ΠΑΡΑΡΤΗΜΑ II</w:t>
      </w:r>
    </w:p>
    <w:p w14:paraId="42F286CA" w14:textId="77777777" w:rsidR="00441DF2" w:rsidRPr="00037E7B" w:rsidRDefault="00441DF2" w:rsidP="00441DF2">
      <w:pPr>
        <w:jc w:val="center"/>
        <w:rPr>
          <w:rFonts w:ascii="Times New Roman" w:hAnsi="Times New Roman"/>
          <w:sz w:val="24"/>
        </w:rPr>
      </w:pPr>
      <w:r>
        <w:rPr>
          <w:rFonts w:ascii="Times New Roman" w:hAnsi="Times New Roman"/>
          <w:sz w:val="24"/>
        </w:rPr>
        <w:t>«ΠΑΡΑΡΤΗΜΑ II</w:t>
      </w:r>
    </w:p>
    <w:p w14:paraId="6D29CBF2" w14:textId="77777777" w:rsidR="00441DF2" w:rsidRPr="00037E7B" w:rsidRDefault="00441DF2" w:rsidP="00441DF2">
      <w:pPr>
        <w:jc w:val="center"/>
        <w:rPr>
          <w:rFonts w:ascii="Times New Roman" w:hAnsi="Times New Roman"/>
          <w:b/>
          <w:sz w:val="24"/>
        </w:rPr>
      </w:pPr>
      <w:r>
        <w:rPr>
          <w:rFonts w:ascii="Times New Roman" w:hAnsi="Times New Roman"/>
          <w:b/>
          <w:sz w:val="24"/>
        </w:rPr>
        <w:t>ΟΔΗΓΙΕΣ ΓΙΑ ΤΗΝ ΥΠΟΒΟΛΗ ΑΝΑΦΟΡΩΝ ΣΧΕΤΙΚΑ ΜΕ ΤΑ ΙΔΙΑ ΚΕΦΑΛΑΙΑ ΚΑΙ ΤΙΣ ΑΠΑΙΤΗΣΕΙΣ ΙΔΙΩΝ ΚΕΦΑΛΑΙΩΝ</w:t>
      </w:r>
    </w:p>
    <w:p w14:paraId="7781F793" w14:textId="77777777" w:rsidR="00441DF2" w:rsidRPr="00037E7B" w:rsidRDefault="00441DF2" w:rsidP="00441DF2">
      <w:pPr>
        <w:jc w:val="center"/>
        <w:rPr>
          <w:rFonts w:ascii="Times New Roman" w:hAnsi="Times New Roman"/>
          <w:b/>
          <w:sz w:val="24"/>
          <w:lang w:eastAsia="de-DE"/>
        </w:rPr>
      </w:pPr>
    </w:p>
    <w:p w14:paraId="5003BB90" w14:textId="77777777" w:rsidR="00441DF2" w:rsidRPr="00037E7B" w:rsidRDefault="00441DF2" w:rsidP="00441DF2">
      <w:pPr>
        <w:rPr>
          <w:rFonts w:ascii="Times New Roman" w:hAnsi="Times New Roman"/>
          <w:sz w:val="24"/>
        </w:rPr>
      </w:pPr>
    </w:p>
    <w:p w14:paraId="3A3F5236" w14:textId="77777777" w:rsidR="00441DF2" w:rsidRPr="00F7533E" w:rsidRDefault="00441DF2" w:rsidP="00441DF2">
      <w:pPr>
        <w:pStyle w:val="Heading2"/>
        <w:rPr>
          <w:rFonts w:ascii="Times New Roman" w:hAnsi="Times New Roman"/>
          <w:b/>
          <w:bCs/>
          <w:color w:val="000000" w:themeColor="text1"/>
          <w:sz w:val="24"/>
          <w:szCs w:val="24"/>
          <w:u w:val="single"/>
        </w:rPr>
      </w:pPr>
      <w:bookmarkStart w:id="0" w:name="_Toc360188322"/>
      <w:bookmarkStart w:id="1" w:name="_Toc473560870"/>
      <w:bookmarkStart w:id="2" w:name="_Toc151714358"/>
      <w:r>
        <w:rPr>
          <w:rFonts w:ascii="Times New Roman" w:hAnsi="Times New Roman"/>
          <w:b/>
          <w:color w:val="000000" w:themeColor="text1"/>
          <w:sz w:val="24"/>
          <w:u w:val="single"/>
        </w:rPr>
        <w:t>ΜΕΡΟΣ II: ΟΔΗΓΙΕΣ ΣΧΕΤΙΚΑ ΜΕ ΤΑ ΥΠΟΔΕΙΓΜΑΤΑ</w:t>
      </w:r>
      <w:bookmarkEnd w:id="0"/>
      <w:bookmarkEnd w:id="1"/>
      <w:bookmarkEnd w:id="2"/>
    </w:p>
    <w:p w14:paraId="2A41C5B9" w14:textId="77777777" w:rsidR="00441DF2" w:rsidRPr="00037E7B" w:rsidRDefault="00441DF2" w:rsidP="00441DF2">
      <w:pPr>
        <w:rPr>
          <w:lang w:eastAsia="x-none"/>
        </w:rPr>
      </w:pPr>
    </w:p>
    <w:p w14:paraId="783AFAE2" w14:textId="29BB9ADF" w:rsidR="00EE75F2" w:rsidRDefault="00441DF2">
      <w:r>
        <w:t>(…)</w:t>
      </w:r>
    </w:p>
    <w:p w14:paraId="0FC12B51"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rPr>
      </w:pPr>
      <w:bookmarkStart w:id="3" w:name="_Toc151714427"/>
      <w:r>
        <w:rPr>
          <w:rFonts w:ascii="Times New Roman" w:hAnsi="Times New Roman"/>
          <w:sz w:val="24"/>
          <w:u w:val="none"/>
        </w:rPr>
        <w:t>3.5.</w:t>
      </w:r>
      <w:r>
        <w:tab/>
      </w:r>
      <w:r>
        <w:rPr>
          <w:rFonts w:ascii="Times New Roman" w:hAnsi="Times New Roman"/>
          <w:sz w:val="24"/>
        </w:rPr>
        <w:t>C 10.01 και C 10.02 – Ανοίγματα σε μετοχές βάσει της προσέγγισης των εσωτερικών διαβαθμίσεων (CR EQU IRB 1 και CR EQU IRB 2)</w:t>
      </w:r>
      <w:bookmarkEnd w:id="3"/>
    </w:p>
    <w:p w14:paraId="00A76F16" w14:textId="77777777" w:rsidR="006063BD" w:rsidRPr="002A677E" w:rsidRDefault="006063BD" w:rsidP="006063BD">
      <w:pPr>
        <w:pStyle w:val="Instructionsberschrift2"/>
        <w:numPr>
          <w:ilvl w:val="0"/>
          <w:numId w:val="0"/>
        </w:numPr>
        <w:rPr>
          <w:rFonts w:ascii="Times New Roman" w:hAnsi="Times New Roman" w:cs="Times New Roman"/>
          <w:sz w:val="24"/>
        </w:rPr>
      </w:pPr>
      <w:bookmarkStart w:id="4" w:name="_Toc151714428"/>
      <w:r>
        <w:rPr>
          <w:rFonts w:ascii="Times New Roman" w:hAnsi="Times New Roman"/>
          <w:sz w:val="24"/>
        </w:rPr>
        <w:t>3.5.1.</w:t>
      </w:r>
      <w:r>
        <w:tab/>
      </w:r>
      <w:r>
        <w:rPr>
          <w:rFonts w:ascii="Times New Roman" w:hAnsi="Times New Roman"/>
          <w:sz w:val="24"/>
        </w:rPr>
        <w:t>Γενικές παρατηρήσεις</w:t>
      </w:r>
      <w:bookmarkEnd w:id="4"/>
    </w:p>
    <w:p w14:paraId="325D5C5C" w14:textId="5351FFE5" w:rsidR="006063BD" w:rsidRPr="002A677E" w:rsidRDefault="006063BD" w:rsidP="006063BD">
      <w:pPr>
        <w:pStyle w:val="InstructionsText2"/>
        <w:numPr>
          <w:ilvl w:val="0"/>
          <w:numId w:val="0"/>
        </w:numPr>
        <w:ind w:left="993"/>
      </w:pPr>
      <w:r>
        <w:t>92. Το CR EQU IRB αποτελείται από δύο υποδείγματα: Το CR EQU IRB 1 παρουσιάζει τη γενική επισκόπηση των ανοιγμάτων IRB της κατηγορίας ανοιγμάτων “μετοχές” και των διαφόρων μεθόδων υπολογισμού των συνολικών ποσών ανοίγματος σε κίνδυνο. Το CR EQU IRB 2 παρουσιάζει την κατανομή των συνολικών ανοιγμάτων που ταξινομούνται σε βαθμίδες οφειλέτη στο πλαίσιο της προσέγγισης PD/LGD. Ο όρος “CR EQU IRB” αναφέρεται σε αμφότερα τα υποδείγματα “CR EQU IRB 1” και “CR EQU IRB 2”, κατά περίπτωση, στις ακόλουθες οδηγίες.</w:t>
      </w:r>
    </w:p>
    <w:p w14:paraId="42AD0632" w14:textId="7F41541B" w:rsidR="006063BD" w:rsidRPr="002A677E" w:rsidRDefault="006063BD" w:rsidP="006063BD">
      <w:pPr>
        <w:pStyle w:val="InstructionsText2"/>
        <w:numPr>
          <w:ilvl w:val="0"/>
          <w:numId w:val="0"/>
        </w:numPr>
        <w:ind w:left="993"/>
      </w:pPr>
      <w:r>
        <w:fldChar w:fldCharType="begin"/>
      </w:r>
      <w:r>
        <w:instrText>seq paragraphs</w:instrText>
      </w:r>
      <w:r>
        <w:fldChar w:fldCharType="separate"/>
      </w:r>
      <w:r>
        <w:t>93</w:t>
      </w:r>
      <w:r>
        <w:fldChar w:fldCharType="end"/>
      </w:r>
      <w:r>
        <w:t>.</w:t>
      </w:r>
      <w:r>
        <w:tab/>
        <w:t>Το υπόδειγμα CR EQU IRB παρέχει πληροφορίες για τον υπολογισμό των σταθμισμένων ως προς τον κίνδυνο ποσών ανοίγματος για τον πιστωτικό κίνδυνο [άρθρο 92 παράγραφος 4 στοιχείο α) του κανονισμού (ΕΕ) αριθ. 575/2013], για τα ανοίγματα που υπόκεινται στο άρθρο 495 παράγραφος 1 στοιχείο β) του κανονισμού (ΕΕ) αριθ. 575/2013, τα οποία αντιμετωπίζονται σύμφωνα με το τρίτο μέρος τίτλος II κεφάλαιο 3 του κανονισμού (ΕΕ) αριθ. 575/2013 για ανοίγματα σε μετοχές που αναφέρονται στο άρθρο 147 παράγραφος 2 στοιχείο ε) του εν λόγω κανονισμού. Τα ανοίγματα σε μετοχές που υπόκεινται στο άρθρο 495 παράγραφος 1 στοιχείο α) και στο άρθρο 495 παράγραφος 2 του κανονισμού (ΕΕ) αριθ. 575/2013 αναφέρονται στο υπόδειγμα CR SA (C 07.00). Τα ανοίγματα σε μετοχές που υπόκεινται στο άρθρο 495α παράγραφος 3 του κανονισμού (ΕΕ) αριθ. 575/2013 αναφέρονται και αυτά στο υπόδειγμα CR SA (C 07.00).</w:t>
      </w:r>
    </w:p>
    <w:p w14:paraId="02D38A2A" w14:textId="0678C7A0" w:rsidR="006063BD" w:rsidRPr="002A677E" w:rsidRDefault="006063BD" w:rsidP="006063BD">
      <w:pPr>
        <w:pStyle w:val="InstructionsText2"/>
        <w:numPr>
          <w:ilvl w:val="0"/>
          <w:numId w:val="0"/>
        </w:numPr>
        <w:ind w:left="993"/>
      </w:pPr>
      <w:r>
        <w:fldChar w:fldCharType="begin"/>
      </w:r>
      <w:r>
        <w:instrText>seq paragraphs</w:instrText>
      </w:r>
      <w:r>
        <w:fldChar w:fldCharType="separate"/>
      </w:r>
      <w:r>
        <w:t>94</w:t>
      </w:r>
      <w:r>
        <w:fldChar w:fldCharType="end"/>
      </w:r>
      <w:r>
        <w:t>.</w:t>
      </w:r>
      <w:r>
        <w:tab/>
        <w:t>Σύμφωνα με το άρθρο 147 παράγραφος 6 του κανονισμού (ΕΕ) αριθ. 575/2013, τα ανοίγματα που αναφέρονται στο άρθρο 133 παράγραφος 1 του κανονισμού (ΕΕ) αριθ. 575/2013 αντιστοιχούν στην κατηγορία ανοιγμάτων “ανοίγματα σε μετοχές”, εκτός εάν αντιστοιχούν στην κατηγορία ανοιγμάτων “ανοίγματα υπό τη μορφή μεριδίων ή μετοχών σε ΟΣΕ”.</w:t>
      </w:r>
    </w:p>
    <w:p w14:paraId="520150D0" w14:textId="52F4D880" w:rsidR="006063BD" w:rsidRPr="002A677E" w:rsidRDefault="006063BD" w:rsidP="006063BD">
      <w:pPr>
        <w:pStyle w:val="InstructionsText2"/>
        <w:numPr>
          <w:ilvl w:val="0"/>
          <w:numId w:val="0"/>
        </w:numPr>
        <w:ind w:left="993"/>
      </w:pPr>
      <w:r>
        <w:fldChar w:fldCharType="begin"/>
      </w:r>
      <w:r>
        <w:instrText>seq paragraphs</w:instrText>
      </w:r>
      <w:r>
        <w:fldChar w:fldCharType="separate"/>
      </w:r>
      <w:r>
        <w:t>95</w:t>
      </w:r>
      <w:r>
        <w:fldChar w:fldCharType="end"/>
      </w:r>
      <w:r>
        <w:t>.</w:t>
      </w:r>
      <w:r>
        <w:tab/>
        <w:t>[Διαγράφηκε]</w:t>
      </w:r>
    </w:p>
    <w:p w14:paraId="178611EC" w14:textId="34CA8091" w:rsidR="006063BD" w:rsidRPr="002A677E" w:rsidRDefault="006063BD" w:rsidP="006063BD">
      <w:pPr>
        <w:pStyle w:val="InstructionsText2"/>
        <w:numPr>
          <w:ilvl w:val="0"/>
          <w:numId w:val="0"/>
        </w:numPr>
        <w:ind w:left="993"/>
      </w:pPr>
      <w:r>
        <w:lastRenderedPageBreak/>
        <w:fldChar w:fldCharType="begin"/>
      </w:r>
      <w:r>
        <w:instrText>seq paragraphs</w:instrText>
      </w:r>
      <w:r>
        <w:fldChar w:fldCharType="separate"/>
      </w:r>
      <w:r>
        <w:t>96</w:t>
      </w:r>
      <w:r>
        <w:fldChar w:fldCharType="end"/>
      </w:r>
      <w:r>
        <w:t>.</w:t>
      </w:r>
      <w:r>
        <w:tab/>
        <w:t xml:space="preserve">Σύμφωνα με το άρθρο 495 παράγραφος 1 στοιχείο β) του κανονισμού (ΕΕ) αριθ. 575/2013, τα ιδρύματα υποβάλλουν το υπόδειγμα CR EQU IRB, όταν εφαρμόζουν μία από τις ακόλουθες τρεις προσεγγίσεις: </w:t>
      </w:r>
    </w:p>
    <w:p w14:paraId="0D6A3825" w14:textId="77777777" w:rsidR="006063BD" w:rsidRPr="002A677E" w:rsidRDefault="006063BD" w:rsidP="006063BD">
      <w:pPr>
        <w:pStyle w:val="InstructionsText"/>
      </w:pPr>
      <w:r>
        <w:t>- την προσέγγιση απλής στάθμισης κινδύνου·</w:t>
      </w:r>
    </w:p>
    <w:p w14:paraId="3EF899C4" w14:textId="77777777" w:rsidR="006063BD" w:rsidRPr="002A677E" w:rsidRDefault="006063BD" w:rsidP="006063BD">
      <w:pPr>
        <w:pStyle w:val="InstructionsText"/>
      </w:pPr>
      <w:r>
        <w:t>- την προσέγγιση PD/LGD·</w:t>
      </w:r>
    </w:p>
    <w:p w14:paraId="622FC220" w14:textId="77777777" w:rsidR="006063BD" w:rsidRDefault="006063BD" w:rsidP="006063BD">
      <w:pPr>
        <w:pStyle w:val="InstructionsText"/>
      </w:pPr>
      <w:r>
        <w:t>- την προσέγγιση εσωτερικών υποδειγμάτων.</w:t>
      </w:r>
    </w:p>
    <w:p w14:paraId="5D37423B" w14:textId="57B3065A" w:rsidR="006063BD" w:rsidRPr="002A677E" w:rsidRDefault="006063BD" w:rsidP="006063BD">
      <w:pPr>
        <w:pStyle w:val="InstructionsText2"/>
        <w:numPr>
          <w:ilvl w:val="0"/>
          <w:numId w:val="0"/>
        </w:numPr>
        <w:ind w:left="1353"/>
        <w:rPr>
          <w:noProof/>
        </w:rPr>
      </w:pPr>
      <w:r>
        <w:t>Σύμφωνα με το άρθρο 495 παράγραφος 1 στοιχείο β) του κανονισμού (ΕΕ) αριθ. 575/2013, τα ιδρύματα δύναται να χρησιμοποιούν διαφορετικές προσεγγίσεις (προσέγγιση απλής στάθμισης κινδύνου, προσέγγιση PD/LGD ή προσέγγιση εσωτερικών υποδειγμάτων) στα διάφορα χαρτοφυλάκια, όταν χρησιμοποιούν αυτές τις διαφορετικές προσεγγίσεις εσωτερικά.</w:t>
      </w:r>
    </w:p>
    <w:p w14:paraId="2BF4ADE6" w14:textId="52D016FB" w:rsidR="006063BD" w:rsidRPr="002A677E" w:rsidRDefault="006063BD" w:rsidP="006063BD">
      <w:pPr>
        <w:pStyle w:val="InstructionsText2"/>
        <w:numPr>
          <w:ilvl w:val="0"/>
          <w:numId w:val="0"/>
        </w:numPr>
        <w:ind w:left="1353"/>
        <w:rPr>
          <w:noProof/>
        </w:rPr>
      </w:pPr>
      <w:r>
        <w:t>Επίσης, τα ιδρύματα που εφαρμόζουν την προσέγγιση IRB αναφέρουν στο υπόδειγμα CR EQU IRB και τα ποσά των σταθμισμένων ως προς τον κίνδυνο ανοιγμάτων για τα ανοίγματα σε μετοχές, που αντιμετωπίζονται συνήθως με σταθερό συντελεστή στάθμισης κινδύνου [χωρίς, ωστόσο, να αντιμετωπίζονται ρητώς σύμφωνα με την προσέγγιση της απλής στάθμισης κινδύνου ή την (προσωρινή ή μόνιμη) μερική χρήση της τυποποιημένης προσέγγισης πιστωτικού κινδύνου], π.χ. ανοίγματα σε μετοχές στα οποία εφαρμόζεται συνήθως συντελεστής στάθμισης κινδύνου 250 %, σύμφωνα με το άρθρο 48 παράγραφος 4 του κανονισμού (ΕΕ) αριθ. 575/2013, και, αντιστοίχως, συντελεστής στάθμισης κινδύνου 370 %, σύμφωνα με το άρθρο 471 παράγραφος 2 του κανονισμού.</w:t>
      </w:r>
    </w:p>
    <w:p w14:paraId="4BBD6043" w14:textId="467889B4" w:rsidR="006063BD" w:rsidRDefault="00A65C1A" w:rsidP="0092685D">
      <w:pPr>
        <w:pStyle w:val="InstructionsText2"/>
        <w:numPr>
          <w:ilvl w:val="0"/>
          <w:numId w:val="0"/>
        </w:numPr>
        <w:ind w:left="993"/>
      </w:pPr>
      <w:r>
        <w:t>97.</w:t>
      </w:r>
      <w:r>
        <w:tab/>
        <w:t>[Διαγράφηκε]</w:t>
      </w:r>
    </w:p>
    <w:p w14:paraId="6DA8654B" w14:textId="4CECC17C" w:rsidR="00546AF1" w:rsidRPr="002A677E" w:rsidRDefault="00546AF1" w:rsidP="0092685D">
      <w:pPr>
        <w:pStyle w:val="InstructionsText2"/>
        <w:numPr>
          <w:ilvl w:val="0"/>
          <w:numId w:val="0"/>
        </w:numPr>
        <w:ind w:left="993"/>
      </w:pPr>
      <w:r>
        <w:t>97α. Οι ακόλουθες οδηγίες αναφέρονται στην έκδοση του κανονισμού (ΕΕ) αριθ. 575/2013 που ίσχυε στις 8 Ιουλίου 2024.</w:t>
      </w:r>
    </w:p>
    <w:p w14:paraId="3B22CAB3" w14:textId="77777777" w:rsidR="006063BD" w:rsidRPr="002A677E" w:rsidRDefault="006063BD" w:rsidP="006063BD">
      <w:pPr>
        <w:pStyle w:val="InstructionsText"/>
      </w:pPr>
    </w:p>
    <w:p w14:paraId="40C6FF22"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rPr>
      </w:pPr>
      <w:bookmarkStart w:id="5" w:name="_Toc295829921"/>
      <w:bookmarkStart w:id="6" w:name="_Toc310415033"/>
      <w:bookmarkStart w:id="7" w:name="_Toc360188371"/>
      <w:bookmarkStart w:id="8" w:name="_Toc473560922"/>
      <w:bookmarkStart w:id="9" w:name="_Toc151714429"/>
      <w:r>
        <w:rPr>
          <w:rFonts w:ascii="Times New Roman" w:hAnsi="Times New Roman"/>
          <w:sz w:val="24"/>
          <w:u w:val="none"/>
        </w:rPr>
        <w:t>3.5.2.</w:t>
      </w:r>
      <w:r>
        <w:tab/>
      </w:r>
      <w:r>
        <w:rPr>
          <w:rFonts w:ascii="Times New Roman" w:hAnsi="Times New Roman"/>
          <w:sz w:val="24"/>
        </w:rPr>
        <w:t>Οδηγίες για συγκεκριμένες θέσεις</w:t>
      </w:r>
      <w:bookmarkEnd w:id="5"/>
      <w:bookmarkEnd w:id="6"/>
      <w:r>
        <w:rPr>
          <w:rFonts w:ascii="Times New Roman" w:hAnsi="Times New Roman"/>
          <w:sz w:val="24"/>
        </w:rPr>
        <w:t xml:space="preserve"> (ισχύουν για αμφότερα τα υποδείγματα CR EQU IRB 1 και CR EQU IRB 2)</w:t>
      </w:r>
      <w:bookmarkEnd w:id="7"/>
      <w:bookmarkEnd w:id="8"/>
      <w:bookmarkEnd w:id="9"/>
    </w:p>
    <w:tbl>
      <w:tblPr>
        <w:tblW w:w="0" w:type="auto"/>
        <w:tblLook w:val="01E0" w:firstRow="1" w:lastRow="1" w:firstColumn="1" w:lastColumn="1" w:noHBand="0" w:noVBand="0"/>
      </w:tblPr>
      <w:tblGrid>
        <w:gridCol w:w="852"/>
        <w:gridCol w:w="8004"/>
      </w:tblGrid>
      <w:tr w:rsidR="006063BD" w:rsidRPr="002A677E" w14:paraId="1FF84224" w14:textId="77777777" w:rsidTr="00E07FE9">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D36877B" w14:textId="77777777" w:rsidR="006063BD" w:rsidRPr="001235ED" w:rsidRDefault="006063BD" w:rsidP="00E07FE9">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Στήλες</w:t>
            </w:r>
          </w:p>
        </w:tc>
      </w:tr>
      <w:tr w:rsidR="006063BD" w:rsidRPr="002A677E" w14:paraId="65A83B7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0E2B5C"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44A21873"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ΒΑΘΜΙΔΑ ΟΦΕΙΛΕΤΗ (ΑΝΑΓΝΩΡΙΣΤΙΚΟΣ ΚΩΔΙΚΟΣ ΓΡΑΜΜΗΣ)</w:t>
            </w:r>
          </w:p>
          <w:p w14:paraId="1990DE2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Η βαθμίδα οφειλέτη είναι αναγνωριστικός κωδικός γραμμής και είναι μοναδικός για κάθε γραμμή στο υπόδειγμα. </w:t>
            </w:r>
            <w:r>
              <w:rPr>
                <w:rFonts w:ascii="Times New Roman" w:hAnsi="Times New Roman"/>
                <w:sz w:val="24"/>
              </w:rPr>
              <w:t>Τηρείται η σειρά αρίθμησης 1, 2, 3 κ.λπ.</w:t>
            </w:r>
          </w:p>
        </w:tc>
      </w:tr>
      <w:tr w:rsidR="006063BD" w:rsidRPr="002A677E" w14:paraId="4A3DF45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FF0DC5"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30BFEC80"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ΚΛΙΜΑΚΑ ΕΣΩΤΕΡΙΚΩΝ ΔΙΑΒΑΘΜΙΣΕΩΝ </w:t>
            </w:r>
          </w:p>
          <w:p w14:paraId="4DE0AB3D"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ΠΙΘΑΝΟΤΗΤΑ ΑΘΕΤΗΣΗΣ ΠΟΥ ΣΧΕΤΙΖΕΤΑΙ ΜΕ ΤΗ ΒΑΘΜΙΔΑ ΟΦΕΙΛΕΤΗ (%)</w:t>
            </w:r>
          </w:p>
          <w:p w14:paraId="3F16319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Τα ιδρύματα που εφαρμόζουν την προσέγγιση PD/LGD αναφέρουν στη στήλη 0010 την PD, που υπολογίζεται σύμφωνα με το άρθρο 165 παράγραφος 1 του κανονισμού (ΕΕ) αριθ. 575/2013.</w:t>
            </w:r>
          </w:p>
          <w:p w14:paraId="5179D71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Η PD που σχετίζεται με την αναφερόμενη βαθμίδα ή ομάδα οφειλέτη πρέπει να είναι σύμφωνη με τις ελάχιστες απαιτήσεις που προβλέπονται στο τρίτο μέρος τίτλος II κεφάλαιο 3 τμήμα 6 του κανονισμού (ΕΕ) αριθ. 575/2013. Για κάθε επιμέρους βαθμίδα ή ομάδα, αναφέρεται η PD που σχετίζεται με τη συγκεκριμένη βαθμίδα ή ομάδα οφειλέτη. Όλες οι αναφερόμενες παράμετροι κινδύνου προκύπτουν από τις παραμέτρους κινδύνου που χρησιμοποιούνται στην κλίμακα εσωτερικών διαβαθμίσεων που έχει εγκριθεί από την αντίστοιχη αρμόδια αρχή.</w:t>
            </w:r>
          </w:p>
          <w:p w14:paraId="4A3E11C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Για τα αριθμητικά στοιχεία που αντιστοιχούν σε άθροισμα βαθμίδων ή ομάδων οφειλέτη (π.χ. “σύνολο ανοιγμάτων”), παρέχεται το μέσο σταθμισμένο ως προς το άνοιγμα ύψος των πιθανοτήτων αθέτησης που σχετίζονται με τις βαθμίδες ή ομάδες οφειλέτη που περιλαμβάνονται στο άθροισμα. Για τον υπολογισμό του μέσου σταθμισμένου ως προς το άνοιγμα ύψους της πιθανότητας αθέτησης λαμβάνονται υπόψη όλα τα ανοίγματα, συμπεριλαμβανομένων των ανοιγμάτων σε αθέτηση. Για τον υπολογισμό του μέσου σταθμισμένου ως προς το άνοιγμα ύψους της πιθανότητας αθέτησης, χρησιμοποιείται για τη στάθμιση η αξία ανοίγματος λαμβανομένης υπόψη της μη χρηματοδοτούμενης πιστωτικής προστασίας (στήλη 0060). </w:t>
            </w:r>
          </w:p>
        </w:tc>
      </w:tr>
      <w:tr w:rsidR="006063BD" w:rsidRPr="002A677E" w14:paraId="213F2491"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5D4562C"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14:paraId="7DFAAD46"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ΑΡΧΙΚΟ ΑΝΟΙΓΜΑ ΠΡΙΝ ΑΠΟ ΤΟΥΣ ΣΥΝΤΕΛΕΣΤΕΣ ΜΕΤΑΤΡΟΠΗΣ</w:t>
            </w:r>
          </w:p>
          <w:p w14:paraId="14D647B9" w14:textId="77777777" w:rsidR="006063BD" w:rsidRPr="002A677E" w:rsidRDefault="006063BD" w:rsidP="00E07FE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Τα ιδρύματα αναφέρουν στη στήλη 0020 την αξία του αρχικού ανοίγματος (πριν από τους συντελεστές μετατροπής). Σύμφωνα με το άρθρο 167 του κανονισμού (ΕΕ) αριθ. 575/2013, η αξία ανοίγματος των ανοιγμάτων σε μετοχές είναι η λογιστική αξία που απομένει μετά την εφαρμογή ειδικών προσαρμογών πιστωτικού κινδύνου. Η</w:t>
            </w:r>
            <w:r>
              <w:rPr>
                <w:rFonts w:ascii="Times New Roman" w:hAnsi="Times New Roman"/>
                <w:sz w:val="24"/>
              </w:rPr>
              <w:t xml:space="preserve"> αξία ανοίγματος των εκτός ισολογισμού ανοιγμάτων σε μετοχές είναι η ονομαστική τους αξία κατόπιν ειδικών προσαρμογών πιστωτικού κινδύνου.</w:t>
            </w:r>
          </w:p>
          <w:p w14:paraId="7B8A5042"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Τα ιδρύματα περιλαμβάνουν επίσης στη στήλη 0020 τα εκτός ισολογισμού στοιχεία που αναφέρονται στο παράρτημα I </w:t>
            </w:r>
            <w:r>
              <w:rPr>
                <w:rFonts w:ascii="Times New Roman" w:hAnsi="Times New Roman"/>
                <w:sz w:val="24"/>
              </w:rPr>
              <w:t xml:space="preserve">του κανονισμού (ΕΕ) αριθ. 575/2013 </w:t>
            </w:r>
            <w:r>
              <w:rPr>
                <w:rStyle w:val="InstructionsTabelleText"/>
                <w:rFonts w:ascii="Times New Roman" w:hAnsi="Times New Roman"/>
                <w:sz w:val="24"/>
              </w:rPr>
              <w:t>και έχουν ταξινομηθεί στην κατηγορία ανοιγμάτων σε μετοχές (π.χ. “μη καταβληθέν τμήμα μερικώς εξοφλημένων μετοχών”).</w:t>
            </w:r>
          </w:p>
          <w:p w14:paraId="0435DBD5"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Τα ιδρύματα που εφαρμόζουν την προσέγγιση της απλής στάθμισης κινδύνου ή την προσέγγιση PD/LGD [όπως προβλέπεται στο άρθρο 165 παράγραφος 1 </w:t>
            </w:r>
            <w:r>
              <w:rPr>
                <w:rFonts w:ascii="Times New Roman" w:hAnsi="Times New Roman"/>
                <w:sz w:val="24"/>
              </w:rPr>
              <w:t>του κανονισμού (ΕΕ) αριθ. 575/2013</w:t>
            </w:r>
            <w:r>
              <w:rPr>
                <w:rStyle w:val="InstructionsTabelleText"/>
                <w:rFonts w:ascii="Times New Roman" w:hAnsi="Times New Roman"/>
                <w:sz w:val="24"/>
              </w:rPr>
              <w:t xml:space="preserve">] λαμβάνουν επίσης υπόψη τον συμψηφισμό που προβλέπεται στο άρθρο 155 παράγραφος 2 δεύτερο εδάφιο </w:t>
            </w:r>
            <w:r>
              <w:rPr>
                <w:rFonts w:ascii="Times New Roman" w:hAnsi="Times New Roman"/>
                <w:sz w:val="24"/>
              </w:rPr>
              <w:t>του κανονισμού (ΕΕ) αριθ. 575/2013</w:t>
            </w:r>
            <w:r>
              <w:rPr>
                <w:rStyle w:val="InstructionsTabelleText"/>
                <w:rFonts w:ascii="Times New Roman" w:hAnsi="Times New Roman"/>
                <w:sz w:val="24"/>
              </w:rPr>
              <w:t xml:space="preserve">. </w:t>
            </w:r>
          </w:p>
        </w:tc>
      </w:tr>
      <w:tr w:rsidR="006063BD" w:rsidRPr="002A677E" w14:paraId="382DC2E8"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E6A8C45"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14:paraId="2893F262"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ΤΕΧΝΙΚΕΣ ΜΕΙΩΣΗΣ ΤΟΥ ΠΙΣΤΩΤΙΚΟΥ ΚΙΝΔΥΝΟΥ (CRM) ΜΕ ΑΠΟΤΕΛΕΣΜΑΤΑ ΥΠΟΚΑΤΑΣΤΑΣΗΣ ΣΤΟ ΑΝΟΙΓΜΑ</w:t>
            </w:r>
          </w:p>
          <w:p w14:paraId="4EC65FBC"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ΧΡΗΜΑΤΟΔΟΤΟΥΜΕΝΗ ΠΙΣΤΩΤΙΚΗ ΠΡΟΣΤΑΣΙΑ</w:t>
            </w:r>
          </w:p>
          <w:p w14:paraId="2B5389BD"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ΕΓΓΥΗΣΕΙΣ</w:t>
            </w:r>
          </w:p>
          <w:p w14:paraId="3ED7D45A"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ΠΙΣΤΩΤΙΚΑ ΠΑΡΑΓΩΓΑ</w:t>
            </w:r>
          </w:p>
          <w:p w14:paraId="78FA5F7A"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 xml:space="preserve">Ανεξαρτήτως της προσέγγισης που χρησιμοποιείται για τον υπολογισμό των σταθμισμένων ως προς τον κίνδυνο ποσών ανοιγμάτων για ανοίγματα σε μετοχές, τα ιδρύματα δύνανται να αναγνωρίζουν τη μη χρηματοδοτούμενη πιστωτική προστασία που λαμβάνεται για ανοίγματα σε μετοχές [άρθρο 155 παράγραφοι 2, 3 και 4 </w:t>
            </w:r>
            <w:r>
              <w:rPr>
                <w:rFonts w:ascii="Times New Roman" w:hAnsi="Times New Roman"/>
                <w:sz w:val="24"/>
              </w:rPr>
              <w:t>του κανονισμού (ΕΕ) αριθ. 575/2013</w:t>
            </w:r>
            <w:r>
              <w:rPr>
                <w:rStyle w:val="InstructionsTabelleText"/>
                <w:rFonts w:ascii="Times New Roman" w:hAnsi="Times New Roman"/>
                <w:sz w:val="24"/>
              </w:rPr>
              <w:t xml:space="preserve">]. Τα ιδρύματα που εφαρμόζουν την προσέγγιση της απλής στάθμισης κινδύνου ή την προσέγγιση PD/LGD αναφέρουν στις στήλες 0030 και 0040 το ποσό της μη χρηματοδοτούμενης πιστωτικής προστασίας υπό μορφή εγγυήσεων (στήλη 0030) ή πιστωτικών παραγώγων (στήλη 0040) που αναγνωρίζεται σύμφωνα με τις μεθόδους του τρίτου μέρους τίτλος II κεφάλαιο 4 </w:t>
            </w:r>
            <w:r>
              <w:rPr>
                <w:rFonts w:ascii="Times New Roman" w:hAnsi="Times New Roman"/>
                <w:sz w:val="24"/>
              </w:rPr>
              <w:t>του κανονισμού (ΕΕ) αριθ. 575/2013</w:t>
            </w:r>
            <w:r>
              <w:rPr>
                <w:rStyle w:val="InstructionsTabelleText"/>
                <w:rFonts w:ascii="Times New Roman" w:hAnsi="Times New Roman"/>
                <w:sz w:val="24"/>
              </w:rPr>
              <w:t>.</w:t>
            </w:r>
          </w:p>
        </w:tc>
      </w:tr>
      <w:tr w:rsidR="006063BD" w:rsidRPr="002A677E" w14:paraId="17F47692"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E9B1439"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8004" w:type="dxa"/>
          </w:tcPr>
          <w:p w14:paraId="2E63B5A9"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ΤΕΧΝΙΚΕΣ ΜΕΙΩΣΗΣ ΤΟΥ ΠΙΣΤΩΤΙΚΟΥ ΚΙΝΔΥΝΟΥ (CRM) ΜΕ ΑΠΟΤΕΛΕΣΜΑΤΑ ΥΠΟΚΑΤΑΣΤΑΣΗΣ ΣΤΟ ΑΝΟΙΓΜΑ</w:t>
            </w:r>
          </w:p>
          <w:p w14:paraId="423CDDE6"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ΥΠΟΚΑΤΑΣΤΑΣΗ ΤΟΥ ΑΝΟΙΓΜΑΤΟΣ ΛΟΓΩ ΤΗΣ ΜΕΙΩΣΗΣ ΤΟΥ ΠΙΣΤΩΤΙΚΟΥ ΚΙΝΔΥΝΟΥ</w:t>
            </w:r>
          </w:p>
          <w:p w14:paraId="3419A1AA"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ΣΥΝΟΛΙΚΕΣ ΕΚΡΟΕΣ</w:t>
            </w:r>
          </w:p>
          <w:p w14:paraId="565BB9D1"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Τα ιδρύματα αναφέρουν στη στήλη 0050 το μέρος του αρχικού ανοίγματος πριν από τους συντελεστές μετατροπής που καλύπτεται από μη χρηματοδοτούμενη πιστωτική προστασία, η οποία αναγνωρίζεται σύμφωνα με τις μεθόδους του τρίτου μέρους τίτλος II κεφάλαιο 4 </w:t>
            </w:r>
            <w:r>
              <w:rPr>
                <w:rFonts w:ascii="Times New Roman" w:hAnsi="Times New Roman"/>
                <w:sz w:val="24"/>
              </w:rPr>
              <w:t>του κανονισμού (ΕΕ) αριθ. 575/2013</w:t>
            </w:r>
            <w:r>
              <w:rPr>
                <w:rStyle w:val="InstructionsTabelleText"/>
                <w:rFonts w:ascii="Times New Roman" w:hAnsi="Times New Roman"/>
                <w:sz w:val="24"/>
              </w:rPr>
              <w:t>.</w:t>
            </w:r>
          </w:p>
        </w:tc>
      </w:tr>
      <w:tr w:rsidR="006063BD" w:rsidRPr="002A677E" w14:paraId="5722682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8758B3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706B98F2"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ΑΞΙΑ ΑΝΟΙΓΜΑΤΟΣ</w:t>
            </w:r>
          </w:p>
          <w:p w14:paraId="6AD76A6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Τα ιδρύματα που εφαρμόζουν την προσέγγιση της απλής στάθμισης κινδύνου ή την προσέγγιση PD/LGD αναφέρουν στη στήλη 0060 την αξία ανοίγματος, λαμβάνοντας υπόψη τα αποτελέσματα υποκατάστασης που προκύπτουν από τη μη χρηματοδοτούμενη πιστωτική προστασία [άρθρο 155 παράγραφοι 2 και 3 και άρθρο 167 </w:t>
            </w:r>
            <w:r>
              <w:rPr>
                <w:rFonts w:ascii="Times New Roman" w:hAnsi="Times New Roman"/>
                <w:sz w:val="24"/>
              </w:rPr>
              <w:t>του κανονισμού (ΕΕ) αριθ. 575/2013</w:t>
            </w:r>
            <w:r>
              <w:rPr>
                <w:rStyle w:val="InstructionsTabelleText"/>
                <w:rFonts w:ascii="Times New Roman" w:hAnsi="Times New Roman"/>
                <w:sz w:val="24"/>
              </w:rPr>
              <w:t>].</w:t>
            </w:r>
          </w:p>
          <w:p w14:paraId="651AFB2A"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Στην περίπτωση ανοιγμάτων σε μετοχές εκτός ισολογισμού, η αξία ανοίγματος είναι η ονομαστική αξία κατόπιν ειδικών προσαρμογών πιστωτικού κινδύνου [άρθρο 167 </w:t>
            </w:r>
            <w:r>
              <w:rPr>
                <w:rFonts w:ascii="Times New Roman" w:hAnsi="Times New Roman"/>
                <w:sz w:val="24"/>
              </w:rPr>
              <w:t>του κανονισμού (ΕΕ) αριθ. 575/2013</w:t>
            </w:r>
            <w:r>
              <w:rPr>
                <w:rStyle w:val="InstructionsTabelleText"/>
                <w:rFonts w:ascii="Times New Roman" w:hAnsi="Times New Roman"/>
                <w:sz w:val="24"/>
              </w:rPr>
              <w:t>].</w:t>
            </w:r>
          </w:p>
        </w:tc>
      </w:tr>
      <w:tr w:rsidR="006063BD" w:rsidRPr="002A677E" w14:paraId="6B327CFF"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E03721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453CE433"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ΟΠΟΙΩΝ: ΣΤΟΙΧΕΙΑ ΕΚΤΟΣ ΙΣΟΛΟΓΙΣΜΟΥ</w:t>
            </w:r>
          </w:p>
          <w:p w14:paraId="4C0B5E6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Βλέπε οδηγίες για το υπόδειγμα CR-SA </w:t>
            </w:r>
          </w:p>
        </w:tc>
      </w:tr>
      <w:tr w:rsidR="006063BD" w:rsidRPr="002A677E" w14:paraId="1466607A"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F23714"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937B83C"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ΜΕΣΟ ΣΤΑΘΜΙΣΜΕΝΟ ΩΣ ΠΡΟΣ ΤΟ ΑΝΟΙΓΜΑ ΥΨΟΣ ΤΗΣ LGD (%)</w:t>
            </w:r>
          </w:p>
          <w:p w14:paraId="39A39197"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Τα ιδρύματα που εφαρμόζουν την προσέγγιση PD/LGD αναφέρουν το σταθμισμένο ως προς το άνοιγμα μέσο ύψος των τιμών ζημίας λόγω αθέτησης που σχετίζονται με τις βαθμίδες ή ομάδες οφειλέτη που περιλαμβάνονται στο άθροισμα</w:t>
            </w:r>
          </w:p>
          <w:p w14:paraId="531525BF"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Η αξία ανοίγματος, λαμβανομένης υπόψη της μη χρηματοδοτούμενης πιστωτικής προστασίας (στήλη 0060), χρησιμοποιείται για τον υπολογισμό του μέσου σταθμισμένου ως προς το άνοιγμα ύψους της ζημίας λόγω αθέτησης. </w:t>
            </w:r>
          </w:p>
          <w:p w14:paraId="6D55ECB2"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Τα ιδρύματα λαμβάνουν υπόψη το άρθρο 165 παράγραφος 2 </w:t>
            </w:r>
            <w:r>
              <w:rPr>
                <w:rFonts w:ascii="Times New Roman" w:hAnsi="Times New Roman"/>
                <w:sz w:val="24"/>
              </w:rPr>
              <w:t>του κανονισμού (ΕΕ) αριθ. 575/2013</w:t>
            </w:r>
            <w:r>
              <w:rPr>
                <w:rStyle w:val="InstructionsTabelleText"/>
                <w:rFonts w:ascii="Times New Roman" w:hAnsi="Times New Roman"/>
                <w:sz w:val="24"/>
              </w:rPr>
              <w:t>.</w:t>
            </w:r>
          </w:p>
        </w:tc>
      </w:tr>
      <w:tr w:rsidR="006063BD" w:rsidRPr="002A677E" w14:paraId="31AFD79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68FECE1"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0080</w:t>
            </w:r>
          </w:p>
        </w:tc>
        <w:tc>
          <w:tcPr>
            <w:tcW w:w="8004" w:type="dxa"/>
          </w:tcPr>
          <w:p w14:paraId="4A7F554B"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ΠΟΣΟ ΑΝΟΙΓΜΑΤΟΣ ΣΤΑΘΜΙΣΜΕΝΟ ΩΣ ΠΡΟΣ ΤΟΝ ΚΙΝΔΥΝΟ</w:t>
            </w:r>
          </w:p>
          <w:p w14:paraId="11F80B1F"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Τα ιδρύματα αναφέρουν τα ποσά των σταθμισμένων ως προς τον κίνδυνο ανοιγμάτων για τα ανοίγματα σε μετοχές, υπολογιζόμενα σύμφωνα με το άρθρο 155 </w:t>
            </w:r>
            <w:r>
              <w:rPr>
                <w:rFonts w:ascii="Times New Roman" w:hAnsi="Times New Roman"/>
                <w:sz w:val="24"/>
              </w:rPr>
              <w:t>του κανονισμού (ΕΕ) αριθ. 575/2013</w:t>
            </w:r>
            <w:r>
              <w:rPr>
                <w:rStyle w:val="InstructionsTabelleText"/>
                <w:rFonts w:ascii="Times New Roman" w:hAnsi="Times New Roman"/>
                <w:sz w:val="24"/>
              </w:rPr>
              <w:t>.</w:t>
            </w:r>
          </w:p>
          <w:p w14:paraId="73CF54D0"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Στην περίπτωση που τα ιδρύματα που εφαρμόζουν την προσέγγιση PD/LGD δεν διαθέτουν επαρκείς πληροφορίες για να χρησιμοποιήσουν τον ορισμό της αθέτησης υποχρέωσης που ορίζεται στο άρθρο 178 </w:t>
            </w:r>
            <w:r>
              <w:rPr>
                <w:rFonts w:ascii="Times New Roman" w:hAnsi="Times New Roman"/>
                <w:sz w:val="24"/>
              </w:rPr>
              <w:t>του κανονισμού (ΕΕ) αριθ. 575/2013</w:t>
            </w:r>
            <w:r>
              <w:rPr>
                <w:rStyle w:val="InstructionsTabelleText"/>
                <w:rFonts w:ascii="Times New Roman" w:hAnsi="Times New Roman"/>
                <w:sz w:val="24"/>
              </w:rPr>
              <w:t xml:space="preserve">, στους συντελεστές στάθμισης κινδύνου εφαρμόζεται συντελεστής προσαύξησης 1,5 κατά τον υπολογισμό των σταθμισμένων ως προς τον κίνδυνο ποσών ανοιγμάτων [άρθρο 155 παράγραφος 3 </w:t>
            </w:r>
            <w:r>
              <w:rPr>
                <w:rFonts w:ascii="Times New Roman" w:hAnsi="Times New Roman"/>
                <w:sz w:val="24"/>
              </w:rPr>
              <w:t>του κανονισμού (ΕΕ) αριθ. 575/2013</w:t>
            </w:r>
            <w:r>
              <w:rPr>
                <w:rStyle w:val="InstructionsTabelleText"/>
                <w:rFonts w:ascii="Times New Roman" w:hAnsi="Times New Roman"/>
                <w:sz w:val="24"/>
              </w:rPr>
              <w:t xml:space="preserve">]. </w:t>
            </w:r>
          </w:p>
          <w:p w14:paraId="73F5A45F"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Όσον αφορά την παράμετρο εισροής Μ (ληκτότητα) στη συνάρτηση του συντελεστή στάθμισης κινδύνου, η ληκτότητα που αποδίδεται στα ανοίγματα σε μετοχές ισούται με 5 έτη [άρθρο 165 παράγραφος 3 </w:t>
            </w:r>
            <w:r>
              <w:rPr>
                <w:rFonts w:ascii="Times New Roman" w:hAnsi="Times New Roman"/>
                <w:sz w:val="24"/>
              </w:rPr>
              <w:t>του κανονισμού (ΕΕ) αριθ. 575/2013</w:t>
            </w:r>
            <w:r>
              <w:rPr>
                <w:rStyle w:val="InstructionsTabelleText"/>
                <w:rFonts w:ascii="Times New Roman" w:hAnsi="Times New Roman"/>
                <w:sz w:val="24"/>
              </w:rPr>
              <w:t>].</w:t>
            </w:r>
          </w:p>
        </w:tc>
      </w:tr>
      <w:tr w:rsidR="006063BD" w:rsidRPr="002A677E" w14:paraId="6D510B40"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1EF4254"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14:paraId="12D0755F"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ΥΠΟΜΝΗΜΑΤΙΚΟ ΣΤΟΙΧΕΙΟ: ΠΟΣΟ ΑΝΑΜΕΝΟΜΕΝΗΣ ΖΗΜΙΑΣ</w:t>
            </w:r>
          </w:p>
          <w:p w14:paraId="623383B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Τα ιδρύματα αναφέρουν στη στήλη 0090 το ποσό της αναμενόμενης ζημίας για ανοίγματα σε μετοχές, το οποίο υπολογίζεται σύμφωνα με το άρθρο 158 παράγραφοι 4, 7, 8 και 9 </w:t>
            </w:r>
            <w:r>
              <w:rPr>
                <w:rFonts w:ascii="Times New Roman" w:hAnsi="Times New Roman"/>
                <w:sz w:val="24"/>
              </w:rPr>
              <w:t>του κανονισμού (ΕΕ) αριθ. 575/2013</w:t>
            </w:r>
            <w:r>
              <w:rPr>
                <w:rStyle w:val="InstructionsTabelleText"/>
                <w:rFonts w:ascii="Times New Roman" w:hAnsi="Times New Roman"/>
                <w:sz w:val="24"/>
              </w:rPr>
              <w:t xml:space="preserve">. </w:t>
            </w:r>
          </w:p>
        </w:tc>
      </w:tr>
    </w:tbl>
    <w:p w14:paraId="5929752F" w14:textId="77777777" w:rsidR="006063BD" w:rsidRPr="002A677E" w:rsidRDefault="006063BD" w:rsidP="006063BD">
      <w:pPr>
        <w:pStyle w:val="InstructionsText"/>
      </w:pPr>
    </w:p>
    <w:p w14:paraId="26816B4F" w14:textId="4774BD94" w:rsidR="006063BD" w:rsidRPr="002A677E" w:rsidRDefault="006063BD" w:rsidP="006063BD">
      <w:pPr>
        <w:pStyle w:val="InstructionsText2"/>
        <w:numPr>
          <w:ilvl w:val="0"/>
          <w:numId w:val="0"/>
        </w:numPr>
        <w:ind w:left="993"/>
      </w:pPr>
      <w:r>
        <w:fldChar w:fldCharType="begin"/>
      </w:r>
      <w:r>
        <w:instrText>seq paragraphs</w:instrText>
      </w:r>
      <w:r>
        <w:fldChar w:fldCharType="separate"/>
      </w:r>
      <w:r>
        <w:t>98</w:t>
      </w:r>
      <w:r>
        <w:fldChar w:fldCharType="end"/>
      </w:r>
      <w:r>
        <w:t>.</w:t>
      </w:r>
      <w:r>
        <w:tab/>
        <w:t>[Διαγράφηκε]</w:t>
      </w:r>
    </w:p>
    <w:tbl>
      <w:tblPr>
        <w:tblW w:w="9524" w:type="dxa"/>
        <w:tblLook w:val="01E0" w:firstRow="1" w:lastRow="1" w:firstColumn="1" w:lastColumn="1" w:noHBand="0" w:noVBand="0"/>
      </w:tblPr>
      <w:tblGrid>
        <w:gridCol w:w="1608"/>
        <w:gridCol w:w="7916"/>
      </w:tblGrid>
      <w:tr w:rsidR="006063BD" w:rsidRPr="002A677E" w14:paraId="390F1BBB" w14:textId="77777777" w:rsidTr="00E07FE9">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4DFE8A5E" w14:textId="77777777" w:rsidR="006063BD" w:rsidRPr="001235ED" w:rsidRDefault="006063BD" w:rsidP="00E07FE9">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Γραμμές</w:t>
            </w:r>
          </w:p>
        </w:tc>
      </w:tr>
      <w:tr w:rsidR="006063BD" w:rsidRPr="002A677E" w14:paraId="7C696210" w14:textId="77777777" w:rsidTr="00E07FE9">
        <w:tc>
          <w:tcPr>
            <w:tcW w:w="1608" w:type="dxa"/>
            <w:tcBorders>
              <w:top w:val="single" w:sz="4" w:space="0" w:color="auto"/>
              <w:left w:val="single" w:sz="4" w:space="0" w:color="auto"/>
              <w:bottom w:val="single" w:sz="4" w:space="0" w:color="auto"/>
              <w:right w:val="single" w:sz="4" w:space="0" w:color="auto"/>
            </w:tcBorders>
          </w:tcPr>
          <w:p w14:paraId="13A797C6"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γραμμή 0020,</w:t>
            </w:r>
          </w:p>
          <w:p w14:paraId="1F763B4F"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5CDF7E7"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ΠΡΟΣΕΓΓΙΣΗ PD/LGD: ΣΥΝΟΛΟ </w:t>
            </w:r>
          </w:p>
          <w:p w14:paraId="19AC2738"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Τα ιδρύματα που εφαρμόζουν την προσέγγιση PD/LGD [άρθρο 155 παράγραφος 3 </w:t>
            </w:r>
            <w:r>
              <w:rPr>
                <w:rFonts w:ascii="Times New Roman" w:hAnsi="Times New Roman"/>
                <w:sz w:val="24"/>
              </w:rPr>
              <w:t>του κανονισμού (ΕΕ) αριθ. 575/2013</w:t>
            </w:r>
            <w:r>
              <w:rPr>
                <w:rStyle w:val="InstructionsTabelleText"/>
                <w:rFonts w:ascii="Times New Roman" w:hAnsi="Times New Roman"/>
                <w:sz w:val="24"/>
              </w:rPr>
              <w:t>] αναφέρουν τις ζητούμενες πληροφορίες στη γραμμή 0020 του υποδείγματος CR EQU IRB 1.</w:t>
            </w:r>
          </w:p>
        </w:tc>
      </w:tr>
      <w:tr w:rsidR="006063BD" w:rsidRPr="002A677E" w14:paraId="74C2BF7F" w14:textId="77777777" w:rsidTr="00E07FE9">
        <w:tc>
          <w:tcPr>
            <w:tcW w:w="1608" w:type="dxa"/>
            <w:tcBorders>
              <w:top w:val="single" w:sz="4" w:space="0" w:color="auto"/>
              <w:left w:val="single" w:sz="4" w:space="0" w:color="auto"/>
              <w:bottom w:val="single" w:sz="4" w:space="0" w:color="auto"/>
              <w:right w:val="single" w:sz="4" w:space="0" w:color="auto"/>
            </w:tcBorders>
          </w:tcPr>
          <w:p w14:paraId="71E3EE0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γραμμές 0050-0090</w:t>
            </w:r>
          </w:p>
        </w:tc>
        <w:tc>
          <w:tcPr>
            <w:tcW w:w="7916" w:type="dxa"/>
            <w:tcBorders>
              <w:top w:val="single" w:sz="4" w:space="0" w:color="auto"/>
              <w:left w:val="single" w:sz="4" w:space="0" w:color="auto"/>
              <w:bottom w:val="single" w:sz="4" w:space="0" w:color="auto"/>
              <w:right w:val="single" w:sz="4" w:space="0" w:color="auto"/>
            </w:tcBorders>
          </w:tcPr>
          <w:p w14:paraId="502F8A3D" w14:textId="77777777" w:rsidR="006063BD" w:rsidRPr="002A677E" w:rsidRDefault="006063BD" w:rsidP="00E07FE9">
            <w:pPr>
              <w:rPr>
                <w:rStyle w:val="InstructionsTabelleText"/>
                <w:rFonts w:ascii="Times New Roman" w:hAnsi="Times New Roman"/>
                <w:b/>
                <w:sz w:val="24"/>
                <w:u w:val="single"/>
              </w:rPr>
            </w:pPr>
            <w:r>
              <w:rPr>
                <w:rStyle w:val="InstructionsTabelleText"/>
                <w:rFonts w:ascii="Times New Roman" w:hAnsi="Times New Roman"/>
                <w:b/>
                <w:sz w:val="24"/>
                <w:u w:val="single"/>
              </w:rPr>
              <w:t>ΠΡΟΣΕΓΓΙΣΗ ΑΠΛΗΣ ΣΤΑΘΜΙΣΗΣ ΚΙΝΔΥΝΟΥ: ΣΥΝΟΛΟ</w:t>
            </w:r>
          </w:p>
          <w:p w14:paraId="4AD71E33" w14:textId="77777777" w:rsidR="006063BD" w:rsidRPr="002A677E" w:rsidRDefault="006063BD" w:rsidP="00E07FE9">
            <w:pPr>
              <w:rPr>
                <w:rStyle w:val="InstructionsTabelleText"/>
                <w:rFonts w:ascii="Times New Roman" w:hAnsi="Times New Roman"/>
                <w:b/>
                <w:sz w:val="24"/>
                <w:u w:val="single"/>
              </w:rPr>
            </w:pPr>
            <w:r>
              <w:rPr>
                <w:rStyle w:val="InstructionsTabelleText"/>
                <w:rFonts w:ascii="Times New Roman" w:hAnsi="Times New Roman"/>
                <w:b/>
                <w:sz w:val="24"/>
                <w:u w:val="single"/>
              </w:rPr>
              <w:t>ΚΑΤΑΝΟΜΗ ΤΩΝ ΣΥΝΟΛΙΚΩΝ ΑΝΟΙΓΜΑΤΩΝ ΒΑΣΕΙ ΤΗΣ ΠΡΟΣΕΓΓΙΣΗΣ ΑΠΛΗΣ ΣΤΑΘΜΙΣΗΣ ΚΙΝΔΥΝΟΥ ΑΝΑ ΣΥΝΤΕΛΕΣΤΗ ΣΤΑΘΜΙΣΗΣ ΚΙΝΔΥΝΟΥ:</w:t>
            </w:r>
          </w:p>
          <w:p w14:paraId="39AE74C7"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Τα ιδρύματα που εφαρμόζουν την προσέγγιση της απλής στάθμισης κινδύνου [άρθρο 155 παράγραφος 2 </w:t>
            </w:r>
            <w:r>
              <w:rPr>
                <w:rFonts w:ascii="Times New Roman" w:hAnsi="Times New Roman"/>
                <w:sz w:val="24"/>
              </w:rPr>
              <w:t>του κανονισμού (ΕΕ) αριθ. 575/2013</w:t>
            </w:r>
            <w:r>
              <w:rPr>
                <w:rStyle w:val="InstructionsTabelleText"/>
                <w:rFonts w:ascii="Times New Roman" w:hAnsi="Times New Roman"/>
                <w:sz w:val="24"/>
              </w:rPr>
              <w:t>] αναφέρουν τις ζητούμενες πληροφορίες σύμφωνα με τα χαρακτηριστικά των υποκείμενων ανοιγμάτων στις γραμμές 0050 έως 0090.</w:t>
            </w:r>
          </w:p>
        </w:tc>
      </w:tr>
      <w:tr w:rsidR="006063BD" w:rsidRPr="002A677E" w14:paraId="5AE60468" w14:textId="77777777" w:rsidTr="00E07FE9">
        <w:tc>
          <w:tcPr>
            <w:tcW w:w="1608" w:type="dxa"/>
            <w:tcBorders>
              <w:top w:val="single" w:sz="4" w:space="0" w:color="auto"/>
              <w:left w:val="single" w:sz="4" w:space="0" w:color="auto"/>
              <w:bottom w:val="single" w:sz="4" w:space="0" w:color="auto"/>
              <w:right w:val="single" w:sz="4" w:space="0" w:color="auto"/>
            </w:tcBorders>
          </w:tcPr>
          <w:p w14:paraId="6E3956B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γραμμή 0100</w:t>
            </w:r>
          </w:p>
        </w:tc>
        <w:tc>
          <w:tcPr>
            <w:tcW w:w="7916" w:type="dxa"/>
            <w:tcBorders>
              <w:top w:val="single" w:sz="4" w:space="0" w:color="auto"/>
              <w:left w:val="single" w:sz="4" w:space="0" w:color="auto"/>
              <w:bottom w:val="single" w:sz="4" w:space="0" w:color="auto"/>
              <w:right w:val="single" w:sz="4" w:space="0" w:color="auto"/>
            </w:tcBorders>
          </w:tcPr>
          <w:p w14:paraId="28C13DD8" w14:textId="77777777" w:rsidR="006063BD" w:rsidRPr="002A677E" w:rsidRDefault="006063BD" w:rsidP="00E07FE9">
            <w:pPr>
              <w:rPr>
                <w:rStyle w:val="InstructionsTabelleberschrift"/>
                <w:rFonts w:ascii="Times New Roman" w:hAnsi="Times New Roman"/>
                <w:sz w:val="24"/>
              </w:rPr>
            </w:pPr>
            <w:r>
              <w:rPr>
                <w:rStyle w:val="InstructionsTabelleberschrift"/>
                <w:rFonts w:ascii="Times New Roman" w:hAnsi="Times New Roman"/>
                <w:sz w:val="24"/>
              </w:rPr>
              <w:t>ΠΡΟΣΕΓΓΙΣΗ ΕΣΩΤΕΡΙΚΩΝ ΥΠΟΔΕΙΓΜΑΤΩΝ</w:t>
            </w:r>
          </w:p>
          <w:p w14:paraId="186E4F54" w14:textId="77777777" w:rsidR="006063BD" w:rsidRPr="002A677E" w:rsidRDefault="006063BD" w:rsidP="00E07FE9">
            <w:pPr>
              <w:pStyle w:val="InstructionsText"/>
              <w:rPr>
                <w:rStyle w:val="FormatvorlageInstructionsTabelleText"/>
                <w:bCs w:val="0"/>
              </w:rPr>
            </w:pPr>
            <w:r>
              <w:rPr>
                <w:rStyle w:val="FormatvorlageInstructionsTabelleText"/>
              </w:rPr>
              <w:t xml:space="preserve">Τα ιδρύματα που εφαρμόζουν την προσέγγιση των εσωτερικών υποδειγμάτων [άρθρο 155 παράγραφος 4 </w:t>
            </w:r>
            <w:r>
              <w:t>του κανονισμού (ΕΕ) αριθ. 575/2013</w:t>
            </w:r>
            <w:r>
              <w:rPr>
                <w:rStyle w:val="FormatvorlageInstructionsTabelleText"/>
              </w:rPr>
              <w:t>] αναφέρουν τις ζητούμενες πληροφορίες στη γραμμή 0100.</w:t>
            </w:r>
          </w:p>
        </w:tc>
      </w:tr>
      <w:tr w:rsidR="006063BD" w:rsidRPr="002A677E" w14:paraId="5AD92C15" w14:textId="77777777" w:rsidTr="00E07FE9">
        <w:tc>
          <w:tcPr>
            <w:tcW w:w="1608" w:type="dxa"/>
            <w:tcBorders>
              <w:top w:val="single" w:sz="4" w:space="0" w:color="auto"/>
              <w:left w:val="single" w:sz="4" w:space="0" w:color="auto"/>
              <w:bottom w:val="single" w:sz="4" w:space="0" w:color="auto"/>
              <w:right w:val="single" w:sz="4" w:space="0" w:color="auto"/>
            </w:tcBorders>
          </w:tcPr>
          <w:p w14:paraId="45440124" w14:textId="77777777" w:rsidR="006063BD" w:rsidRPr="002A677E" w:rsidRDefault="006063BD" w:rsidP="00E07FE9">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lastRenderedPageBreak/>
              <w:t>CR EQU IRB 1 – γραμμή 0110</w:t>
            </w:r>
          </w:p>
        </w:tc>
        <w:tc>
          <w:tcPr>
            <w:tcW w:w="7916" w:type="dxa"/>
            <w:tcBorders>
              <w:top w:val="single" w:sz="4" w:space="0" w:color="auto"/>
              <w:left w:val="single" w:sz="4" w:space="0" w:color="auto"/>
              <w:bottom w:val="single" w:sz="4" w:space="0" w:color="auto"/>
              <w:right w:val="single" w:sz="4" w:space="0" w:color="auto"/>
            </w:tcBorders>
          </w:tcPr>
          <w:p w14:paraId="5CECA97A" w14:textId="77777777" w:rsidR="006063BD" w:rsidRPr="002A677E" w:rsidRDefault="006063BD" w:rsidP="00E07FE9">
            <w:pPr>
              <w:rPr>
                <w:rStyle w:val="InstructionsTabelleberschrift"/>
                <w:rFonts w:ascii="Times New Roman" w:hAnsi="Times New Roman"/>
                <w:sz w:val="24"/>
              </w:rPr>
            </w:pPr>
            <w:r>
              <w:rPr>
                <w:rStyle w:val="InstructionsTabelleberschrift"/>
                <w:rFonts w:ascii="Times New Roman" w:hAnsi="Times New Roman"/>
                <w:sz w:val="24"/>
              </w:rPr>
              <w:t>ΑΝΟΙΓΜΑΤΑ ΣΕ ΜΕΤΟΧΕΣ ΠΟΥ ΥΠΟΚΕΙΝΤΑΙ ΣΕ ΣΥΝΤΕΛΕΣΤΕΣ ΣΤΑΘΜΙΣΗΣ ΚΙΝΔΥΝΟΥ</w:t>
            </w:r>
          </w:p>
          <w:p w14:paraId="7E2EA0A2" w14:textId="77777777" w:rsidR="006063BD" w:rsidRPr="002A677E" w:rsidRDefault="006063BD" w:rsidP="00E07FE9">
            <w:pPr>
              <w:rPr>
                <w:rFonts w:ascii="Times New Roman" w:hAnsi="Times New Roman"/>
                <w:sz w:val="24"/>
              </w:rPr>
            </w:pPr>
            <w:r>
              <w:rPr>
                <w:rFonts w:ascii="Times New Roman" w:hAnsi="Times New Roman"/>
                <w:sz w:val="24"/>
              </w:rPr>
              <w:t>Τα ιδρύματα που εφαρμόζουν την προσέγγιση IRB αναφέρουν τα σταθμισμένα ως προς τον κίνδυνο ποσά ανοίγματος για τα ανοίγματα σε μετοχές, που αντιμετωπίζονται συνήθως με σταθερό συντελεστή στάθμισης κινδύνου (χωρίς, ωστόσο, να αντιμετωπίζονται ρητώς σύμφωνα με την προσέγγιση της απλής στάθμισης κινδύνου ή την (προσωρινή ή μόνιμη) μερική χρήση της τυποποιημένης προσέγγισης πιστωτικού κινδύνου), συμπεριλαμβανομένων των ακόλουθων ανοιγμάτων:</w:t>
            </w:r>
          </w:p>
          <w:p w14:paraId="5DD55598" w14:textId="77777777" w:rsidR="006063BD" w:rsidRPr="002A677E" w:rsidRDefault="006063BD" w:rsidP="00E07FE9">
            <w:pPr>
              <w:rPr>
                <w:rStyle w:val="FormatvorlageInstructionsTabelleText"/>
                <w:rFonts w:ascii="Times New Roman" w:hAnsi="Times New Roman"/>
                <w:sz w:val="24"/>
              </w:rPr>
            </w:pPr>
            <w:r>
              <w:rPr>
                <w:rFonts w:ascii="Times New Roman" w:hAnsi="Times New Roman"/>
                <w:sz w:val="24"/>
              </w:rPr>
              <w:t>—</w:t>
            </w:r>
            <w:r>
              <w:rPr>
                <w:rStyle w:val="FormatvorlageInstructionsTabelleText"/>
                <w:rFonts w:ascii="Times New Roman" w:hAnsi="Times New Roman"/>
                <w:sz w:val="24"/>
              </w:rPr>
              <w:t xml:space="preserve"> του σταθμισμένου ως προς τον κίνδυνο ποσού ανοίγματος των θέσεων σε μετοχές οντοτήτων του χρηματοπιστωτικού τομέα που αντιμετωπίζονται σύμφωνα με το άρθρο 48 παράγραφος 4 </w:t>
            </w:r>
            <w:r>
              <w:rPr>
                <w:rFonts w:ascii="Times New Roman" w:hAnsi="Times New Roman"/>
                <w:sz w:val="24"/>
              </w:rPr>
              <w:t>του κανονισμού (ΕΕ) αριθ. 575/2013</w:t>
            </w:r>
            <w:r>
              <w:rPr>
                <w:rStyle w:val="FormatvorlageInstructionsTabelleText"/>
                <w:rFonts w:ascii="Times New Roman" w:hAnsi="Times New Roman"/>
                <w:sz w:val="24"/>
              </w:rPr>
              <w:t>, καθώς και</w:t>
            </w:r>
          </w:p>
          <w:p w14:paraId="5C41940A" w14:textId="77777777" w:rsidR="006063BD" w:rsidRPr="002A677E" w:rsidRDefault="006063BD" w:rsidP="00E07FE9">
            <w:pPr>
              <w:rPr>
                <w:rStyle w:val="FormatvorlageInstructionsTabelleText"/>
                <w:rFonts w:ascii="Times New Roman" w:hAnsi="Times New Roman"/>
                <w:sz w:val="24"/>
              </w:rPr>
            </w:pPr>
            <w:r>
              <w:rPr>
                <w:rStyle w:val="FormatvorlageInstructionsTabelleText"/>
                <w:rFonts w:ascii="Times New Roman" w:hAnsi="Times New Roman"/>
                <w:sz w:val="24"/>
              </w:rPr>
              <w:t>— των θέσεων σε μετοχές στις οποίες έχει εφαρμοστεί συντελεστής στάθμισης κινδύνου 370</w:t>
            </w:r>
            <w:r>
              <w:t> </w:t>
            </w:r>
            <w:r>
              <w:rPr>
                <w:rStyle w:val="FormatvorlageInstructionsTabelleText"/>
                <w:rFonts w:ascii="Times New Roman" w:hAnsi="Times New Roman"/>
                <w:sz w:val="24"/>
              </w:rPr>
              <w:t xml:space="preserve">% σύμφωνα με το άρθρο 471 παράγραφος 2 </w:t>
            </w:r>
            <w:r>
              <w:rPr>
                <w:rFonts w:ascii="Times New Roman" w:hAnsi="Times New Roman"/>
                <w:sz w:val="24"/>
              </w:rPr>
              <w:t xml:space="preserve">του κανονισμού (ΕΕ) αριθ. 575/2013 </w:t>
            </w:r>
            <w:r>
              <w:rPr>
                <w:rStyle w:val="FormatvorlageInstructionsTabelleText"/>
                <w:rFonts w:ascii="Times New Roman" w:hAnsi="Times New Roman"/>
                <w:sz w:val="24"/>
              </w:rPr>
              <w:t>και οι οποίες αναφέρονται στη γραμμή 0110.</w:t>
            </w:r>
          </w:p>
        </w:tc>
      </w:tr>
      <w:tr w:rsidR="006063BD" w:rsidRPr="002A677E" w14:paraId="183FE009" w14:textId="77777777" w:rsidTr="00E07FE9">
        <w:tc>
          <w:tcPr>
            <w:tcW w:w="1608" w:type="dxa"/>
            <w:tcBorders>
              <w:top w:val="single" w:sz="4" w:space="0" w:color="auto"/>
              <w:left w:val="single" w:sz="4" w:space="0" w:color="auto"/>
              <w:bottom w:val="single" w:sz="4" w:space="0" w:color="auto"/>
              <w:right w:val="single" w:sz="4" w:space="0" w:color="auto"/>
            </w:tcBorders>
          </w:tcPr>
          <w:p w14:paraId="512410C8" w14:textId="77777777" w:rsidR="006063BD" w:rsidRPr="002A677E" w:rsidRDefault="006063BD" w:rsidP="00E07FE9">
            <w:pPr>
              <w:rPr>
                <w:rStyle w:val="InstructionsTabelleText"/>
                <w:rFonts w:ascii="Times New Roman" w:hAnsi="Times New Roman"/>
                <w:sz w:val="24"/>
              </w:rPr>
            </w:pPr>
            <w:r>
              <w:rPr>
                <w:rStyle w:val="InstructionsTabelleText"/>
                <w:rFonts w:ascii="Times New Roman" w:hAnsi="Times New Roman"/>
                <w:sz w:val="24"/>
              </w:rPr>
              <w:t>CR EQU IRB 2</w:t>
            </w:r>
          </w:p>
          <w:p w14:paraId="6FA49741"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84B8736"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ΚΑΤΑΝΟΜΗ ΣΥΝΟΛΙΚΩΝ ΑΝΟΙΓΜΑΤΩΝ ΒΑΣΕΙ ΤΗΣ ΠΡΟΣΕΓΓΙΣΗΣ PD/LGD ΑΝΑ ΒΑΘΜΙΔΑ ΟΦΕΙΛΕΤΗ:</w:t>
            </w:r>
          </w:p>
          <w:p w14:paraId="248ED9FE"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Τα ιδρύματα που εφαρμόζουν την προσέγγιση PD/LGD [άρθρο 155 παράγραφος 3 </w:t>
            </w:r>
            <w:r>
              <w:rPr>
                <w:rFonts w:ascii="Times New Roman" w:hAnsi="Times New Roman"/>
                <w:sz w:val="24"/>
              </w:rPr>
              <w:t>του κανονισμού (ΕΕ) αριθ. 575/2013</w:t>
            </w:r>
            <w:r>
              <w:rPr>
                <w:rStyle w:val="InstructionsTabelleText"/>
                <w:rFonts w:ascii="Times New Roman" w:hAnsi="Times New Roman"/>
                <w:sz w:val="24"/>
              </w:rPr>
              <w:t>] αναφέρουν τις ζητούμενες πληροφορίες στο υπόδειγμα CR EQU IRB 2.</w:t>
            </w:r>
          </w:p>
          <w:p w14:paraId="174DA1AB" w14:textId="77777777" w:rsidR="006063BD" w:rsidRPr="002A677E" w:rsidRDefault="006063BD" w:rsidP="00E07FE9">
            <w:pPr>
              <w:rPr>
                <w:rStyle w:val="InstructionsTabelleberschrift"/>
                <w:rFonts w:ascii="Times New Roman" w:hAnsi="Times New Roman"/>
                <w:b w:val="0"/>
                <w:bCs w:val="0"/>
                <w:sz w:val="24"/>
              </w:rPr>
            </w:pPr>
            <w:r>
              <w:rPr>
                <w:rStyle w:val="InstructionsTabelleText"/>
                <w:rFonts w:ascii="Times New Roman" w:hAnsi="Times New Roman"/>
                <w:sz w:val="24"/>
              </w:rPr>
              <w:t>Τα ιδρύματα που χρησιμοποιούν την προσέγγιση PD/LGD και τα οποία εφαρμόζουν μοναδική κλίμακα διαβάθμισης ή μπορούν να αναφέρουν στοιχεία σύμφωνα με μια εσωτερική κύρια κλίμακα, αναφέρουν στο υπόδειγμα CR EQU IRB 2 τις βαθμίδες ή ομάδες διαβάθμισης που σχετίζονται με αυτή τη μοναδική κλίμακα διαβάθμισης / κύρια κλίμακα. Σε οποιαδήποτε άλλη περίπτωση, οι διάφορες κλίμακες διαβάθμισης συγχωνεύονται και κατατάσσονται βάσει των ακόλουθων κριτηρίων: Οι βαθμίδες ή ομάδες οφειλέτη των διαφόρων κλιμάκων διαβάθμισης ομαδοποιούνται και κατατάσσονται από την κατώτερη PD που αποδίδεται σε κάθε βαθμίδα ή ομάδα οφειλέτη προς την υψηλότερη.</w:t>
            </w:r>
          </w:p>
        </w:tc>
      </w:tr>
    </w:tbl>
    <w:p w14:paraId="63729A6E" w14:textId="6248B3EE" w:rsidR="006063BD" w:rsidRDefault="007D1D01">
      <w:r>
        <w:t>»</w:t>
      </w:r>
    </w:p>
    <w:sectPr w:rsidR="006063B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596C8" w14:textId="77777777" w:rsidR="006063BD" w:rsidRDefault="006063BD" w:rsidP="006063BD">
      <w:pPr>
        <w:spacing w:before="0" w:after="0"/>
      </w:pPr>
      <w:r>
        <w:separator/>
      </w:r>
    </w:p>
  </w:endnote>
  <w:endnote w:type="continuationSeparator" w:id="0">
    <w:p w14:paraId="3028241C" w14:textId="77777777" w:rsidR="006063BD" w:rsidRDefault="006063BD" w:rsidP="006063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DFE04" w14:textId="77777777" w:rsidR="006063BD" w:rsidRDefault="006063BD" w:rsidP="006063BD">
      <w:pPr>
        <w:spacing w:before="0" w:after="0"/>
      </w:pPr>
      <w:r>
        <w:separator/>
      </w:r>
    </w:p>
  </w:footnote>
  <w:footnote w:type="continuationSeparator" w:id="0">
    <w:p w14:paraId="293D1C5B" w14:textId="77777777" w:rsidR="006063BD" w:rsidRDefault="006063BD" w:rsidP="006063B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9E92" w14:textId="69BAC378" w:rsidR="006063BD" w:rsidRDefault="006063BD">
    <w:pPr>
      <w:pStyle w:val="Header"/>
    </w:pPr>
    <w:r>
      <w:rPr>
        <w:noProof/>
      </w:rPr>
      <mc:AlternateContent>
        <mc:Choice Requires="wps">
          <w:drawing>
            <wp:anchor distT="0" distB="0" distL="0" distR="0" simplePos="0" relativeHeight="251659264" behindDoc="0" locked="0" layoutInCell="1" allowOverlap="1" wp14:anchorId="3CE9D0B3" wp14:editId="4549156A">
              <wp:simplePos x="635" y="635"/>
              <wp:positionH relativeFrom="page">
                <wp:align>left</wp:align>
              </wp:positionH>
              <wp:positionV relativeFrom="page">
                <wp:align>top</wp:align>
              </wp:positionV>
              <wp:extent cx="443865" cy="443865"/>
              <wp:effectExtent l="0" t="0" r="3175" b="4445"/>
              <wp:wrapNone/>
              <wp:docPr id="1895922503"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38F3FC" w14:textId="14F4CCD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CE9D0B3"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2538F3FC" w14:textId="14F4CCD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9D82" w14:textId="3E3B122B" w:rsidR="006063BD" w:rsidRDefault="006063BD">
    <w:pPr>
      <w:pStyle w:val="Header"/>
    </w:pPr>
    <w:r>
      <w:rPr>
        <w:noProof/>
      </w:rPr>
      <mc:AlternateContent>
        <mc:Choice Requires="wps">
          <w:drawing>
            <wp:anchor distT="0" distB="0" distL="0" distR="0" simplePos="0" relativeHeight="251660288" behindDoc="0" locked="0" layoutInCell="1" allowOverlap="1" wp14:anchorId="7B34D3BC" wp14:editId="36C0A0C3">
              <wp:simplePos x="914400" y="447675"/>
              <wp:positionH relativeFrom="page">
                <wp:align>left</wp:align>
              </wp:positionH>
              <wp:positionV relativeFrom="page">
                <wp:align>top</wp:align>
              </wp:positionV>
              <wp:extent cx="443865" cy="443865"/>
              <wp:effectExtent l="0" t="0" r="3175" b="4445"/>
              <wp:wrapNone/>
              <wp:docPr id="97607255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63421D" w14:textId="725F3D1B" w:rsidR="006063BD" w:rsidRPr="006063BD" w:rsidRDefault="007D1D01" w:rsidP="006063BD">
                          <w:pPr>
                            <w:spacing w:after="0"/>
                            <w:rPr>
                              <w:rFonts w:ascii="Calibri" w:eastAsia="Calibri" w:hAnsi="Calibri" w:cs="Calibri"/>
                              <w:noProof/>
                              <w:color w:val="000000"/>
                              <w:sz w:val="24"/>
                            </w:rPr>
                          </w:pPr>
                          <w:r>
                            <w:rPr>
                              <w:rFonts w:ascii="Calibri" w:hAnsi="Calibri"/>
                              <w:color w:val="000000"/>
                              <w:sz w:val="24"/>
                            </w:rPr>
                            <w:t>ΕΑΤ τακτική χρήση</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B34D3BC"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163421D" w14:textId="725F3D1B" w:rsidR="006063BD" w:rsidRPr="006063BD" w:rsidRDefault="007D1D01" w:rsidP="006063BD">
                    <w:pPr>
                      <w:spacing w:after="0"/>
                      <w:rPr>
                        <w:rFonts w:ascii="Calibri" w:eastAsia="Calibri" w:hAnsi="Calibri" w:cs="Calibri"/>
                        <w:noProof/>
                        <w:color w:val="000000"/>
                        <w:sz w:val="24"/>
                      </w:rPr>
                    </w:pPr>
                    <w:r>
                      <w:rPr>
                        <w:rFonts w:ascii="Calibri" w:hAnsi="Calibri"/>
                        <w:color w:val="000000"/>
                        <w:sz w:val="24"/>
                      </w:rPr>
                      <w:t>ΕΑΤ τακτική χρήση</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3F236" w14:textId="5F2FF335" w:rsidR="006063BD" w:rsidRDefault="006063BD">
    <w:pPr>
      <w:pStyle w:val="Header"/>
    </w:pPr>
    <w:r>
      <w:rPr>
        <w:noProof/>
      </w:rPr>
      <mc:AlternateContent>
        <mc:Choice Requires="wps">
          <w:drawing>
            <wp:anchor distT="0" distB="0" distL="0" distR="0" simplePos="0" relativeHeight="251658240" behindDoc="0" locked="0" layoutInCell="1" allowOverlap="1" wp14:anchorId="4D921697" wp14:editId="361207F9">
              <wp:simplePos x="635" y="635"/>
              <wp:positionH relativeFrom="page">
                <wp:align>left</wp:align>
              </wp:positionH>
              <wp:positionV relativeFrom="page">
                <wp:align>top</wp:align>
              </wp:positionV>
              <wp:extent cx="443865" cy="443865"/>
              <wp:effectExtent l="0" t="0" r="3175" b="4445"/>
              <wp:wrapNone/>
              <wp:docPr id="179514246"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D5224F" w14:textId="5692164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921697"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7D5224F" w14:textId="5692164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063BD"/>
    <w:rsid w:val="003F18D7"/>
    <w:rsid w:val="00402ED1"/>
    <w:rsid w:val="00441DF2"/>
    <w:rsid w:val="004E4837"/>
    <w:rsid w:val="00546AF1"/>
    <w:rsid w:val="006063BD"/>
    <w:rsid w:val="00612ECC"/>
    <w:rsid w:val="00622D27"/>
    <w:rsid w:val="00631623"/>
    <w:rsid w:val="00771EE5"/>
    <w:rsid w:val="007D1D01"/>
    <w:rsid w:val="00905C84"/>
    <w:rsid w:val="0092685D"/>
    <w:rsid w:val="00942E49"/>
    <w:rsid w:val="009779CF"/>
    <w:rsid w:val="00A3732C"/>
    <w:rsid w:val="00A42F77"/>
    <w:rsid w:val="00A6002C"/>
    <w:rsid w:val="00A65C1A"/>
    <w:rsid w:val="00AB2952"/>
    <w:rsid w:val="00B71F25"/>
    <w:rsid w:val="00C13E1F"/>
    <w:rsid w:val="00D3100E"/>
    <w:rsid w:val="00E73D35"/>
    <w:rsid w:val="00EA7CD3"/>
    <w:rsid w:val="00EE75F2"/>
    <w:rsid w:val="00EF07A1"/>
    <w:rsid w:val="00F75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63B5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3BD"/>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6063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63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63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63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63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63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63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63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63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3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63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63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63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63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63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3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3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3BD"/>
    <w:rPr>
      <w:rFonts w:eastAsiaTheme="majorEastAsia" w:cstheme="majorBidi"/>
      <w:color w:val="272727" w:themeColor="text1" w:themeTint="D8"/>
    </w:rPr>
  </w:style>
  <w:style w:type="paragraph" w:styleId="Title">
    <w:name w:val="Title"/>
    <w:basedOn w:val="Normal"/>
    <w:next w:val="Normal"/>
    <w:link w:val="TitleChar"/>
    <w:uiPriority w:val="10"/>
    <w:qFormat/>
    <w:rsid w:val="006063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3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3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3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3BD"/>
    <w:pPr>
      <w:spacing w:before="160"/>
      <w:jc w:val="center"/>
    </w:pPr>
    <w:rPr>
      <w:i/>
      <w:iCs/>
      <w:color w:val="404040" w:themeColor="text1" w:themeTint="BF"/>
    </w:rPr>
  </w:style>
  <w:style w:type="character" w:customStyle="1" w:styleId="QuoteChar">
    <w:name w:val="Quote Char"/>
    <w:basedOn w:val="DefaultParagraphFont"/>
    <w:link w:val="Quote"/>
    <w:uiPriority w:val="29"/>
    <w:rsid w:val="006063BD"/>
    <w:rPr>
      <w:i/>
      <w:iCs/>
      <w:color w:val="404040" w:themeColor="text1" w:themeTint="BF"/>
    </w:rPr>
  </w:style>
  <w:style w:type="paragraph" w:styleId="ListParagraph">
    <w:name w:val="List Paragraph"/>
    <w:basedOn w:val="Normal"/>
    <w:uiPriority w:val="34"/>
    <w:qFormat/>
    <w:rsid w:val="006063BD"/>
    <w:pPr>
      <w:ind w:left="720"/>
      <w:contextualSpacing/>
    </w:pPr>
  </w:style>
  <w:style w:type="character" w:styleId="IntenseEmphasis">
    <w:name w:val="Intense Emphasis"/>
    <w:basedOn w:val="DefaultParagraphFont"/>
    <w:uiPriority w:val="21"/>
    <w:qFormat/>
    <w:rsid w:val="006063BD"/>
    <w:rPr>
      <w:i/>
      <w:iCs/>
      <w:color w:val="0F4761" w:themeColor="accent1" w:themeShade="BF"/>
    </w:rPr>
  </w:style>
  <w:style w:type="paragraph" w:styleId="IntenseQuote">
    <w:name w:val="Intense Quote"/>
    <w:basedOn w:val="Normal"/>
    <w:next w:val="Normal"/>
    <w:link w:val="IntenseQuoteChar"/>
    <w:uiPriority w:val="30"/>
    <w:qFormat/>
    <w:rsid w:val="006063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63BD"/>
    <w:rPr>
      <w:i/>
      <w:iCs/>
      <w:color w:val="0F4761" w:themeColor="accent1" w:themeShade="BF"/>
    </w:rPr>
  </w:style>
  <w:style w:type="character" w:styleId="IntenseReference">
    <w:name w:val="Intense Reference"/>
    <w:basedOn w:val="DefaultParagraphFont"/>
    <w:uiPriority w:val="32"/>
    <w:qFormat/>
    <w:rsid w:val="006063BD"/>
    <w:rPr>
      <w:b/>
      <w:bCs/>
      <w:smallCaps/>
      <w:color w:val="0F4761" w:themeColor="accent1" w:themeShade="BF"/>
      <w:spacing w:val="5"/>
    </w:rPr>
  </w:style>
  <w:style w:type="paragraph" w:customStyle="1" w:styleId="Instructionsberschrift2">
    <w:name w:val="Instructions Überschrift 2"/>
    <w:basedOn w:val="Heading2"/>
    <w:rsid w:val="006063BD"/>
    <w:pPr>
      <w:keepLines w:val="0"/>
      <w:numPr>
        <w:numId w:val="1"/>
      </w:numPr>
      <w:spacing w:before="240" w:after="24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6063B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6063BD"/>
    <w:rPr>
      <w:rFonts w:ascii="Verdana" w:hAnsi="Verdana" w:cs="Times New Roman"/>
      <w:b/>
      <w:bCs/>
      <w:sz w:val="20"/>
      <w:u w:val="single"/>
    </w:rPr>
  </w:style>
  <w:style w:type="character" w:customStyle="1" w:styleId="InstructionsTabelleText">
    <w:name w:val="Instructions Tabelle Text"/>
    <w:rsid w:val="006063BD"/>
    <w:rPr>
      <w:rFonts w:ascii="Verdana" w:hAnsi="Verdana" w:cs="Times New Roman"/>
      <w:sz w:val="20"/>
    </w:rPr>
  </w:style>
  <w:style w:type="character" w:customStyle="1" w:styleId="FormatvorlageInstructionsTabelleText">
    <w:name w:val="Formatvorlage Instructions Tabelle Text"/>
    <w:uiPriority w:val="99"/>
    <w:qFormat/>
    <w:rsid w:val="006063BD"/>
    <w:rPr>
      <w:rFonts w:ascii="Verdana" w:hAnsi="Verdana" w:cs="Times New Roman"/>
      <w:bCs/>
      <w:sz w:val="20"/>
      <w:u w:val="none"/>
    </w:rPr>
  </w:style>
  <w:style w:type="character" w:customStyle="1" w:styleId="InstructionsTextChar">
    <w:name w:val="Instructions Text Char"/>
    <w:link w:val="InstructionsText"/>
    <w:locked/>
    <w:rsid w:val="006063B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6063BD"/>
    <w:pPr>
      <w:numPr>
        <w:numId w:val="2"/>
      </w:numPr>
      <w:tabs>
        <w:tab w:val="num" w:pos="360"/>
      </w:tabs>
      <w:spacing w:after="240"/>
      <w:ind w:left="360" w:firstLine="0"/>
    </w:pPr>
  </w:style>
  <w:style w:type="paragraph" w:styleId="Header">
    <w:name w:val="header"/>
    <w:basedOn w:val="Normal"/>
    <w:link w:val="HeaderChar"/>
    <w:uiPriority w:val="99"/>
    <w:unhideWhenUsed/>
    <w:rsid w:val="006063BD"/>
    <w:pPr>
      <w:tabs>
        <w:tab w:val="center" w:pos="4513"/>
        <w:tab w:val="right" w:pos="9026"/>
      </w:tabs>
      <w:spacing w:before="0" w:after="0"/>
    </w:pPr>
  </w:style>
  <w:style w:type="character" w:customStyle="1" w:styleId="HeaderChar">
    <w:name w:val="Header Char"/>
    <w:basedOn w:val="DefaultParagraphFont"/>
    <w:link w:val="Header"/>
    <w:uiPriority w:val="99"/>
    <w:rsid w:val="006063BD"/>
    <w:rPr>
      <w:rFonts w:ascii="Verdana" w:eastAsia="Times New Roman" w:hAnsi="Verdana" w:cs="Times New Roman"/>
      <w:kern w:val="0"/>
      <w:sz w:val="20"/>
      <w:szCs w:val="24"/>
      <w14:ligatures w14:val="none"/>
    </w:rPr>
  </w:style>
  <w:style w:type="paragraph" w:styleId="Revision">
    <w:name w:val="Revision"/>
    <w:hidden/>
    <w:uiPriority w:val="99"/>
    <w:semiHidden/>
    <w:rsid w:val="00C13E1F"/>
    <w:pPr>
      <w:spacing w:after="0" w:line="240" w:lineRule="auto"/>
    </w:pPr>
    <w:rPr>
      <w:rFonts w:ascii="Verdana" w:eastAsia="Times New Roman" w:hAnsi="Verdana" w:cs="Times New Roman"/>
      <w:kern w:val="0"/>
      <w:sz w:val="20"/>
      <w:szCs w:val="24"/>
      <w14:ligatures w14:val="none"/>
    </w:rPr>
  </w:style>
  <w:style w:type="paragraph" w:styleId="Footer">
    <w:name w:val="footer"/>
    <w:basedOn w:val="Normal"/>
    <w:link w:val="FooterChar"/>
    <w:uiPriority w:val="99"/>
    <w:unhideWhenUsed/>
    <w:rsid w:val="007D1D01"/>
    <w:pPr>
      <w:tabs>
        <w:tab w:val="center" w:pos="4513"/>
        <w:tab w:val="right" w:pos="9026"/>
      </w:tabs>
      <w:spacing w:before="0" w:after="0"/>
    </w:pPr>
  </w:style>
  <w:style w:type="character" w:customStyle="1" w:styleId="FooterChar">
    <w:name w:val="Footer Char"/>
    <w:basedOn w:val="DefaultParagraphFont"/>
    <w:link w:val="Footer"/>
    <w:uiPriority w:val="99"/>
    <w:rsid w:val="007D1D01"/>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58C181-D3A8-4DAB-AD59-E6C451866B3A}">
  <ds:schemaRefs>
    <ds:schemaRef ds:uri="http://schemas.microsoft.com/sharepoint/v3/contenttype/forms"/>
  </ds:schemaRefs>
</ds:datastoreItem>
</file>

<file path=customXml/itemProps2.xml><?xml version="1.0" encoding="utf-8"?>
<ds:datastoreItem xmlns:ds="http://schemas.openxmlformats.org/officeDocument/2006/customXml" ds:itemID="{89C49BB1-481A-4862-8FE5-CCDB645F66EF}"/>
</file>

<file path=customXml/itemProps3.xml><?xml version="1.0" encoding="utf-8"?>
<ds:datastoreItem xmlns:ds="http://schemas.openxmlformats.org/officeDocument/2006/customXml" ds:itemID="{BAC6A4FE-11F0-45FF-812E-8BB2AD68D28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1905</Words>
  <Characters>11149</Characters>
  <Application>Microsoft Office Word</Application>
  <DocSecurity>0</DocSecurity>
  <Lines>259</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2024-06-19T16:05:00Z</dcterms:created>
  <dcterms:modified xsi:type="dcterms:W3CDTF">2025-01-13T11:02:00Z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2024-07-10T18:20:55Z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384a7351-5fd1-44f6-b862-c171b1df6b48</vt:lpwstr>
  </property>
  <property fmtid="{D5CDD505-2E9C-101B-9397-08002B2CF9AE}" pid="9" name="MSIP_Label_6bd9ddd1-4d20-43f6-abfa-fc3c07406f94_ContentBits">
    <vt:lpwstr>0</vt:lpwstr>
  </property>
</Properties>
</file>